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359" w:rsidRPr="00D37681" w:rsidRDefault="00745BCF" w:rsidP="00D37681">
      <w:pPr>
        <w:ind w:firstLine="0"/>
        <w:jc w:val="center"/>
        <w:rPr>
          <w:b/>
        </w:rPr>
      </w:pPr>
      <w:r w:rsidRPr="00D37681">
        <w:rPr>
          <w:b/>
        </w:rPr>
        <w:t>Пример расчета норм для КДУ</w:t>
      </w:r>
    </w:p>
    <w:p w:rsidR="00745BCF" w:rsidRDefault="00745BCF"/>
    <w:p w:rsidR="00745BCF" w:rsidRDefault="00745BCF">
      <w:r>
        <w:t>Определяем общие трудозатраты по формуле</w:t>
      </w:r>
    </w:p>
    <w:p w:rsidR="00745BCF" w:rsidRDefault="00745BCF" w:rsidP="00745BCF">
      <w:pPr>
        <w:pStyle w:val="a3"/>
        <w:numPr>
          <w:ilvl w:val="0"/>
          <w:numId w:val="1"/>
        </w:numPr>
      </w:pPr>
      <w:r>
        <w:t>общее количество КДФ (культурно-досуговых формирований) =</w:t>
      </w:r>
    </w:p>
    <w:p w:rsidR="00745BCF" w:rsidRDefault="00745BCF" w:rsidP="00745BCF">
      <w:pPr>
        <w:pStyle w:val="a3"/>
        <w:ind w:left="1429" w:firstLine="0"/>
        <w:jc w:val="center"/>
      </w:pPr>
    </w:p>
    <w:p w:rsidR="00745BCF" w:rsidRDefault="00745BCF" w:rsidP="00745BCF">
      <w:pPr>
        <w:pStyle w:val="a3"/>
        <w:ind w:left="1429" w:firstLine="0"/>
        <w:jc w:val="center"/>
      </w:pPr>
      <w:r>
        <w:t>2</w:t>
      </w:r>
    </w:p>
    <w:p w:rsidR="00745BCF" w:rsidRDefault="00745BCF" w:rsidP="00745BCF">
      <w:pPr>
        <w:pStyle w:val="a3"/>
        <w:ind w:left="1429" w:firstLine="0"/>
        <w:jc w:val="center"/>
      </w:pPr>
    </w:p>
    <w:p w:rsidR="00745BCF" w:rsidRDefault="00745BCF" w:rsidP="00745BCF">
      <w:pPr>
        <w:pStyle w:val="a3"/>
        <w:numPr>
          <w:ilvl w:val="0"/>
          <w:numId w:val="1"/>
        </w:numPr>
        <w:jc w:val="left"/>
      </w:pPr>
      <w:r>
        <w:t>КДФ в неделю</w:t>
      </w:r>
      <w:r w:rsidRPr="00745BCF">
        <w:t xml:space="preserve"> </w:t>
      </w:r>
      <w:r>
        <w:t>(</w:t>
      </w:r>
      <w:r>
        <w:rPr>
          <w:lang w:val="en-US"/>
        </w:rPr>
        <w:t>n</w:t>
      </w:r>
      <w:r w:rsidRPr="00745BCF">
        <w:t>) 2</w:t>
      </w:r>
      <w:r>
        <w:t xml:space="preserve"> х 2 = 4 заняти</w:t>
      </w:r>
      <w:bookmarkStart w:id="0" w:name="_GoBack"/>
      <w:bookmarkEnd w:id="0"/>
      <w:r>
        <w:t>я</w:t>
      </w:r>
    </w:p>
    <w:p w:rsidR="00745BCF" w:rsidRDefault="00745BCF" w:rsidP="00745BCF">
      <w:pPr>
        <w:pStyle w:val="a3"/>
        <w:numPr>
          <w:ilvl w:val="0"/>
          <w:numId w:val="1"/>
        </w:numPr>
        <w:jc w:val="left"/>
      </w:pPr>
      <w:r>
        <w:t>общий фонд рабочего времени (ФРВ) в неделю 4 х 3 = 12 часов</w:t>
      </w:r>
    </w:p>
    <w:p w:rsidR="00745BCF" w:rsidRDefault="00745BCF" w:rsidP="00745BCF">
      <w:pPr>
        <w:jc w:val="left"/>
      </w:pPr>
    </w:p>
    <w:p w:rsidR="00745BCF" w:rsidRDefault="00745BCF" w:rsidP="00745BCF">
      <w:pPr>
        <w:jc w:val="left"/>
      </w:pPr>
      <w:r>
        <w:t>Количество рабочих недель в 2022 году 49</w:t>
      </w:r>
    </w:p>
    <w:p w:rsidR="00745BCF" w:rsidRDefault="00745BCF" w:rsidP="00745BCF">
      <w:pPr>
        <w:jc w:val="left"/>
      </w:pPr>
      <w:r>
        <w:t>Общий годовой ФРВ = 49 х 12 = 588 ч.</w:t>
      </w:r>
    </w:p>
    <w:p w:rsidR="00745BCF" w:rsidRDefault="00745BCF" w:rsidP="00745BCF">
      <w:pPr>
        <w:jc w:val="left"/>
      </w:pPr>
    </w:p>
    <w:p w:rsidR="00745BCF" w:rsidRDefault="00745BCF" w:rsidP="00745BCF">
      <w:pPr>
        <w:jc w:val="left"/>
      </w:pPr>
      <w:r>
        <w:t>Годовой ФРВ на 1 штатную единицу при 40-часовой рабочей неделе</w:t>
      </w:r>
      <w:r>
        <w:br/>
        <w:t xml:space="preserve">в соответствии с производственным календарем составляет в 2022 году </w:t>
      </w:r>
    </w:p>
    <w:p w:rsidR="00745BCF" w:rsidRDefault="00745BCF" w:rsidP="00745BCF">
      <w:pPr>
        <w:jc w:val="left"/>
      </w:pPr>
    </w:p>
    <w:p w:rsidR="00745BCF" w:rsidRDefault="00745BCF" w:rsidP="00745BCF">
      <w:pPr>
        <w:jc w:val="center"/>
      </w:pPr>
      <w:r>
        <w:t>1973 ч</w:t>
      </w:r>
    </w:p>
    <w:p w:rsidR="00745BCF" w:rsidRDefault="00745BCF" w:rsidP="00745BCF">
      <w:pPr>
        <w:jc w:val="center"/>
      </w:pPr>
    </w:p>
    <w:p w:rsidR="00745BCF" w:rsidRPr="00745BCF" w:rsidRDefault="00745BCF" w:rsidP="00745BCF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Ч</m:t>
              </m:r>
            </m:e>
            <m:sub>
              <m:r>
                <w:rPr>
                  <w:rFonts w:ascii="Cambria Math" w:hAnsi="Cambria Math"/>
                </w:rPr>
                <m:t>н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Т</m:t>
                  </m:r>
                </m:e>
                <m:sub>
                  <m:r>
                    <w:rPr>
                      <w:rFonts w:ascii="Cambria Math" w:hAnsi="Cambria Math"/>
                    </w:rPr>
                    <m:t>общ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ФРВ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588</m:t>
              </m:r>
            </m:num>
            <m:den>
              <m:r>
                <w:rPr>
                  <w:rFonts w:ascii="Cambria Math" w:hAnsi="Cambria Math"/>
                </w:rPr>
                <m:t>1973</m:t>
              </m:r>
            </m:den>
          </m:f>
          <m:r>
            <w:rPr>
              <w:rFonts w:ascii="Cambria Math" w:hAnsi="Cambria Math"/>
            </w:rPr>
            <m:t>=0,3 ставки</m:t>
          </m:r>
        </m:oMath>
      </m:oMathPara>
    </w:p>
    <w:p w:rsidR="00745BCF" w:rsidRDefault="00745BCF" w:rsidP="00745BCF"/>
    <w:p w:rsidR="00D37681" w:rsidRDefault="00D37681" w:rsidP="00745BCF">
      <w:r>
        <w:t>Определяем плановый коэффициент невыходов.</w:t>
      </w:r>
    </w:p>
    <w:p w:rsidR="00D37681" w:rsidRDefault="00D37681" w:rsidP="00745BCF">
      <w:r>
        <w:t>Процент невыходов 15%</w:t>
      </w:r>
    </w:p>
    <w:p w:rsidR="00D37681" w:rsidRDefault="00D37681" w:rsidP="00745BCF"/>
    <w:p w:rsidR="00D37681" w:rsidRDefault="00D37681" w:rsidP="00745BCF">
      <w:r>
        <w:t xml:space="preserve">Коэффициент невыходов </w:t>
      </w:r>
    </w:p>
    <w:p w:rsidR="00D37681" w:rsidRPr="00D37681" w:rsidRDefault="00D37681" w:rsidP="00745BCF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К</m:t>
              </m:r>
            </m:e>
            <m:sub>
              <m:r>
                <w:rPr>
                  <w:rFonts w:ascii="Cambria Math" w:hAnsi="Cambria Math"/>
                </w:rPr>
                <m:t>н</m:t>
              </m:r>
            </m:sub>
          </m:sSub>
          <m:r>
            <w:rPr>
              <w:rFonts w:ascii="Cambria Math" w:hAnsi="Cambria Math"/>
            </w:rPr>
            <m:t>=1+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15%</m:t>
              </m:r>
            </m:num>
            <m:den>
              <m:r>
                <w:rPr>
                  <w:rFonts w:ascii="Cambria Math" w:hAnsi="Cambria Math"/>
                </w:rPr>
                <m:t>100</m:t>
              </m:r>
            </m:den>
          </m:f>
          <m:r>
            <w:rPr>
              <w:rFonts w:ascii="Cambria Math" w:hAnsi="Cambria Math"/>
            </w:rPr>
            <m:t>=1,15</m:t>
          </m:r>
        </m:oMath>
      </m:oMathPara>
    </w:p>
    <w:p w:rsidR="00D37681" w:rsidRDefault="00D37681" w:rsidP="00745BCF">
      <w:pPr>
        <w:rPr>
          <w:rFonts w:eastAsiaTheme="minorEastAsia"/>
        </w:rPr>
      </w:pPr>
    </w:p>
    <w:p w:rsidR="00D37681" w:rsidRDefault="00D37681" w:rsidP="00745BCF">
      <w:pPr>
        <w:rPr>
          <w:rFonts w:eastAsiaTheme="minorEastAsia"/>
        </w:rPr>
      </w:pPr>
      <w:r>
        <w:rPr>
          <w:rFonts w:eastAsiaTheme="minorEastAsia"/>
        </w:rPr>
        <w:t>С учетом коэффициента невыходов рассчитывается штатная численность руководителей КДФ (</w:t>
      </w:r>
      <w:proofErr w:type="spellStart"/>
      <w:r>
        <w:rPr>
          <w:rFonts w:eastAsiaTheme="minorEastAsia"/>
        </w:rPr>
        <w:t>Ч</w:t>
      </w:r>
      <w:r>
        <w:rPr>
          <w:rFonts w:eastAsiaTheme="minorEastAsia"/>
          <w:vertAlign w:val="subscript"/>
        </w:rPr>
        <w:t>ш</w:t>
      </w:r>
      <w:proofErr w:type="spellEnd"/>
      <w:r>
        <w:rPr>
          <w:rFonts w:eastAsiaTheme="minorEastAsia"/>
        </w:rPr>
        <w:t>), которая определяется по формуле</w:t>
      </w:r>
    </w:p>
    <w:p w:rsidR="00D37681" w:rsidRDefault="00D37681" w:rsidP="00745BCF">
      <w:pPr>
        <w:rPr>
          <w:rFonts w:eastAsiaTheme="minorEastAsia"/>
        </w:rPr>
      </w:pPr>
    </w:p>
    <w:p w:rsidR="00D37681" w:rsidRPr="00D37681" w:rsidRDefault="00D37681" w:rsidP="00D37681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Ч</m:t>
              </m:r>
            </m:e>
            <m:sub>
              <m:r>
                <w:rPr>
                  <w:rFonts w:ascii="Cambria Math" w:hAnsi="Cambria Math"/>
                </w:rPr>
                <m:t>ш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Ч</m:t>
              </m:r>
            </m:e>
            <m:sub>
              <m:r>
                <w:rPr>
                  <w:rFonts w:ascii="Cambria Math" w:hAnsi="Cambria Math"/>
                </w:rPr>
                <m:t>н</m:t>
              </m:r>
            </m:sub>
          </m:sSub>
          <m:r>
            <w:rPr>
              <w:rFonts w:ascii="Cambria Math" w:hAnsi="Cambria Math"/>
            </w:rPr>
            <m:t>×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К</m:t>
              </m:r>
            </m:e>
            <m:sub>
              <m:r>
                <w:rPr>
                  <w:rFonts w:ascii="Cambria Math" w:hAnsi="Cambria Math"/>
                </w:rPr>
                <m:t>н</m:t>
              </m:r>
            </m:sub>
          </m:sSub>
        </m:oMath>
      </m:oMathPara>
    </w:p>
    <w:p w:rsidR="00D37681" w:rsidRDefault="00D37681" w:rsidP="00D37681">
      <w:pPr>
        <w:rPr>
          <w:rFonts w:eastAsiaTheme="minorEastAsia"/>
        </w:rPr>
      </w:pPr>
    </w:p>
    <w:p w:rsidR="00D37681" w:rsidRDefault="00D37681" w:rsidP="00D37681">
      <w:pPr>
        <w:ind w:firstLine="0"/>
        <w:jc w:val="center"/>
        <w:rPr>
          <w:rFonts w:eastAsiaTheme="minorEastAsia"/>
        </w:rPr>
      </w:pPr>
      <w:r>
        <w:rPr>
          <w:rFonts w:eastAsiaTheme="minorEastAsia"/>
        </w:rPr>
        <w:t>0,3 х 1,15 = 0,35</w:t>
      </w:r>
    </w:p>
    <w:p w:rsidR="00D37681" w:rsidRDefault="00D37681" w:rsidP="00D37681">
      <w:pPr>
        <w:ind w:firstLine="0"/>
        <w:jc w:val="center"/>
        <w:rPr>
          <w:rFonts w:eastAsiaTheme="minorEastAsia"/>
        </w:rPr>
      </w:pPr>
    </w:p>
    <w:p w:rsidR="00D37681" w:rsidRDefault="00D37681" w:rsidP="00D37681">
      <w:pPr>
        <w:pStyle w:val="a3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участие в конкурсах, фестивалях;</w:t>
      </w:r>
    </w:p>
    <w:p w:rsidR="00D37681" w:rsidRDefault="00D37681" w:rsidP="00D37681">
      <w:pPr>
        <w:pStyle w:val="a3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участие в мероприятиях учреждения;</w:t>
      </w:r>
    </w:p>
    <w:p w:rsidR="00D37681" w:rsidRPr="00D37681" w:rsidRDefault="00D37681" w:rsidP="00D37681">
      <w:pPr>
        <w:pStyle w:val="a3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методическая деятельность.</w:t>
      </w:r>
    </w:p>
    <w:sectPr w:rsidR="00D37681" w:rsidRPr="00D37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3D6D5F"/>
    <w:multiLevelType w:val="hybridMultilevel"/>
    <w:tmpl w:val="BB4865CC"/>
    <w:lvl w:ilvl="0" w:tplc="5F7817CA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AE775A5"/>
    <w:multiLevelType w:val="hybridMultilevel"/>
    <w:tmpl w:val="2966936E"/>
    <w:lvl w:ilvl="0" w:tplc="5F7817C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BCF"/>
    <w:rsid w:val="00420359"/>
    <w:rsid w:val="00727103"/>
    <w:rsid w:val="00745BCF"/>
    <w:rsid w:val="00D3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8D6EFA-6B8E-4133-A063-01ADCDEBD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103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BC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45B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34972-C738-4678-9DBA-B50DDF565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2022-06-16T01:51:00Z</dcterms:created>
  <dcterms:modified xsi:type="dcterms:W3CDTF">2022-06-16T02:09:00Z</dcterms:modified>
</cp:coreProperties>
</file>